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СЧЕТНАЯ ПАЛАТА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18 февраля 2015 г. N 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должностей, замещаемых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организации, созданной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Счетной палатой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при назначении на которые и при замещении которых</w:t>
      </w:r>
    </w:p>
    <w:p>
      <w:pPr>
        <w:pStyle w:val="2"/>
        <w:jc w:val="center"/>
      </w:pPr>
      <w:r>
        <w:rPr>
          <w:sz w:val="20"/>
        </w:rPr>
        <w:t xml:space="preserve">граждане обязаны представлять сведения о своих доходах, об</w:t>
      </w:r>
    </w:p>
    <w:p>
      <w:pPr>
        <w:pStyle w:val="2"/>
        <w:jc w:val="center"/>
      </w:pPr>
      <w:r>
        <w:rPr>
          <w:sz w:val="20"/>
        </w:rPr>
        <w:t xml:space="preserve">имуществе 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Председателя Счетной палаты Российской Федерации от 10.07.2015 </w:t>
            </w:r>
            <w:hyperlink w:history="0" r:id="rId6" w:tooltip="Приказ от 10.07.2015 N 62 &quot;О внесении изменения в приказ Председателя Счетной палаты Российской Федерации от 18 февраля 2015 г. N 18 &quot;Об утверждении Перечня должностей, замещаемых на основании трудового договора в организациях, созданных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, от 15.01.2016 </w:t>
            </w:r>
            <w:hyperlink w:history="0" r:id="rId7" w:tooltip="Приказ Счетной палаты РФ от 15.01.2016 N 5 &quot;О внесении изменений в отдельные приказы Председателя Счетной палаты Российской Федерации по вопросам профилактики коррупционных и иных правонарушений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16.12.2016 </w:t>
            </w:r>
            <w:hyperlink w:history="0" r:id="rId8" w:tooltip="Приказ Счетной палаты РФ от 16.12.2016 N 107 &quot;О внесении изменения в Перечень должностей, замещаемых на основании трудового договора в организациях, созданных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, от 07.02.2018 </w:t>
            </w:r>
            <w:hyperlink w:history="0" r:id="rId9" w:tooltip="Приказ Счетной палаты РФ от 07.02.2018 N 14 О внесении изменений в приказы Председателя Счетной палаты Российской Федерации от 24 марта 2014 г. N 25 и от 18 февраля 2015 г. N 18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Приказа от 16.01.2019 </w:t>
            </w:r>
            <w:hyperlink w:history="0" r:id="rId10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Приказа от 14.04.2021 </w:t>
            </w:r>
            <w:hyperlink w:history="0" r:id="rId11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      <w:r>
                <w:rPr>
                  <w:sz w:val="20"/>
                  <w:color w:val="0000ff"/>
                </w:rPr>
                <w:t xml:space="preserve">N 40</w:t>
              </w:r>
            </w:hyperlink>
            <w:r>
              <w:rPr>
                <w:sz w:val="20"/>
                <w:color w:val="392c69"/>
              </w:rPr>
              <w:t xml:space="preserve">, Приказа от 20.05.2021 </w:t>
            </w:r>
            <w:hyperlink w:history="0" r:id="rId12" w:tooltip="Приказ Счетной палаты РФ от 20.05.2021 N 64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Приказа от 14.03.2023 N </w:t>
            </w:r>
            <w:hyperlink w:history="0" r:id="rId13" w:tooltip="Приказ Счетной палаты РФ от 14.03.2023 N 35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35</w:t>
              </w:r>
            </w:hyperlink>
            <w:r>
              <w:rPr>
                <w:sz w:val="20"/>
                <w:color w:val="392c69"/>
              </w:rPr>
              <w:t xml:space="preserve">, Приказа от 08.09.2023 </w:t>
            </w:r>
            <w:hyperlink w:history="0" r:id="rId14" w:tooltip="Приказ Счетной палаты РФ от 08.09.2023 N 125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125</w:t>
              </w:r>
            </w:hyperlink>
            <w:r>
              <w:rPr>
                <w:sz w:val="20"/>
                <w:color w:val="392c69"/>
              </w:rPr>
              <w:t xml:space="preserve">, Приказа от 13.12.2023 </w:t>
            </w:r>
            <w:hyperlink w:history="0" r:id="rId15" w:tooltip="Приказ Счетной палаты РФ от 13.12.2023 N 163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  <w:t xml:space="preserve">(в приказе и Перечне по тексту слова "организациях, созданных" заменены словами "организации, созданной" в ред. Приказа от 16.01.2019 </w:t>
      </w:r>
      <w:hyperlink w:history="0" r:id="rId16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Федеральным законом от 25 декабря 2008 г. </w:t>
      </w:r>
      <w:hyperlink w:history="0" r:id="rId17" w:tooltip="Федеральный закон от 25.12.2008 N 273-ФЗ (ред. от 03.07.2016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Указом Президента Российской Федерации от 2 апреля 2013 г. </w:t>
      </w:r>
      <w:hyperlink w:history="0" r:id="rId18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 "О мерах по реализации отдельных положений Федерального закона "О противодействии коррупции", подпунктом "с" пункта 2 Национального плана противодействия коррупции на 2014-2015 годы, утвержденного Указом Президента Российской Федерации от 11 апреля 2014 г. </w:t>
      </w:r>
      <w:hyperlink w:history="0" r:id="rId19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sz w:val="20"/>
            <w:color w:val="0000ff"/>
          </w:rPr>
          <w:t xml:space="preserve">N 226</w:t>
        </w:r>
      </w:hyperlink>
      <w:r>
        <w:rPr>
          <w:sz w:val="20"/>
        </w:rPr>
        <w:t xml:space="preserve">, и в целях совершенствования деятельности по профилактике коррупционных и иных правонарушений в организации, созданной для выполнения задач, поставленных перед Счетной палатой Российской Федерации,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Перечень должностей, замещаемых 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в Департамент по развитию человеческого капитала по утвержденной Президентом Российской Федерации форме справки в сроки, установленные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  <w:t xml:space="preserve">(в ред. Приказа от 16.01.2019 </w:t>
      </w:r>
      <w:hyperlink w:history="0" r:id="rId21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. На работников, замещающих должности, включенные в перечень, утвержденный настоящим приказом, распространить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гражданской службы в аппарате Счетной палаты Российской Федерации, Федеральным законом от 25 декабря 2008 г. </w:t>
      </w:r>
      <w:hyperlink w:history="0" r:id="rId22" w:tooltip="Федеральный закон от 25.12.2008 N 273-ФЗ (ред. от 03.07.2016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пунктом 5 части 1 статьи 16, статьями 17, 18, 20 и 20.1 Федерального закона от 27 июля 2004 г. </w:t>
      </w:r>
      <w:hyperlink w:history="0" r:id="rId23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------------ Недействующая редакция {КонсультантПлюс}">
        <w:r>
          <w:rPr>
            <w:sz w:val="20"/>
            <w:color w:val="0000ff"/>
          </w:rPr>
          <w:t xml:space="preserve">N 79-ФЗ</w:t>
        </w:r>
      </w:hyperlink>
      <w:r>
        <w:rPr>
          <w:sz w:val="20"/>
        </w:rPr>
        <w:t xml:space="preserve"> "О государственной гражданской службе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Руководителю организации, созданной для выполнения задач, поставленных перед Счетной палатой Российской Федерации, довести настоящий приказ до сведения работников.</w:t>
      </w:r>
    </w:p>
    <w:p>
      <w:pPr>
        <w:pStyle w:val="0"/>
        <w:jc w:val="both"/>
      </w:pPr>
      <w:r>
        <w:rPr>
          <w:sz w:val="20"/>
        </w:rPr>
        <w:t xml:space="preserve">(в ред. Приказа от 16.01.2019 </w:t>
      </w:r>
      <w:hyperlink w:history="0" r:id="rId24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приказ Председателя Счетной палаты Российской Федерации от 30 мая 2013 г. N 38 "Об утверждении перечня должностей, замещаемых 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приказа возложить на заместителя Председателя Счетной палаты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приказ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Т.А. Голикова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Председателя</w:t>
      </w:r>
    </w:p>
    <w:p>
      <w:pPr>
        <w:pStyle w:val="0"/>
        <w:jc w:val="right"/>
      </w:pPr>
      <w:r>
        <w:rPr>
          <w:sz w:val="20"/>
        </w:rPr>
        <w:t xml:space="preserve">Счетной палаты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февраля 2015 г. N 18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должностей, замещаемых на основании трудового договора</w:t>
      </w:r>
    </w:p>
    <w:p>
      <w:pPr>
        <w:pStyle w:val="2"/>
        <w:jc w:val="center"/>
      </w:pPr>
      <w:r>
        <w:rPr>
          <w:sz w:val="20"/>
        </w:rPr>
        <w:t xml:space="preserve">в организации, созданной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Счетной палатой Российской Федерации, при назначении</w:t>
      </w:r>
    </w:p>
    <w:p>
      <w:pPr>
        <w:pStyle w:val="2"/>
        <w:jc w:val="center"/>
      </w:pPr>
      <w:r>
        <w:rPr>
          <w:sz w:val="20"/>
        </w:rPr>
        <w:t xml:space="preserve">на которые и при замещении которых граждане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Приказ Счетной палаты РФ от 20.05.2021 N 64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Счетной палаты РФ от 20.05.2021 N 64, </w:t>
            </w:r>
            <w:hyperlink w:history="0" r:id="rId26" w:tooltip="Приказ Счетной палаты РФ от 14.03.2023 N 35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от 14.03.2023 N </w:t>
            </w:r>
            <w:hyperlink w:history="0" r:id="rId27" w:tooltip="Приказ Счетной палаты РФ от 14.03.2023 N 35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35</w:t>
              </w:r>
            </w:hyperlink>
            <w:r>
              <w:rPr>
                <w:sz w:val="20"/>
                <w:color w:val="392c69"/>
              </w:rPr>
              <w:t xml:space="preserve">, Приказа от 08.09.2023 </w:t>
            </w:r>
            <w:hyperlink w:history="0" r:id="rId28" w:tooltip="Приказ Счетной палаты РФ от 08.09.2023 N 125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  <w:t xml:space="preserve">(абзацы 1-19 исключены в ред. Приказа от 16.01.2019 </w:t>
      </w:r>
      <w:hyperlink w:history="0" r:id="rId29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Федеральное казенное учреждение "Центр экспертно-аналитических и информационных технологий Счетной палаты Российской Федерации":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государственных закупок и административно-хозяйственного обеспечения;</w:t>
      </w:r>
    </w:p>
    <w:p>
      <w:pPr>
        <w:pStyle w:val="0"/>
        <w:jc w:val="both"/>
      </w:pPr>
      <w:r>
        <w:rPr>
          <w:sz w:val="20"/>
        </w:rPr>
        <w:t xml:space="preserve">(в ред. Приказа Счетной палаты РФ от 13.12.2023 </w:t>
      </w:r>
      <w:hyperlink w:history="0" r:id="rId30" w:tooltip="Приказ Счетной палаты РФ от 13.12.2023 N 163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N 163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 государственных закупок и административно-хозяйственного обеспечения.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Счетной палаты РФ от 20.05.2021 N 64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20.05.2021 N 64)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</w:pPr>
      <w:r>
        <w:rPr>
          <w:sz w:val="20"/>
        </w:rPr>
        <w:t xml:space="preserve">(в ред. Приказа от 07.02.2018 </w:t>
      </w:r>
      <w:hyperlink w:history="0" r:id="rId33" w:tooltip="Приказ Счетной палаты РФ от 07.02.2018 N 14 О внесении изменений в приказы Председателя Счетной палаты Российской Федерации от 24 марта 2014 г. N 25 и от 18 февраля 2015 г. N 18 {КонсультантПлюс}">
        <w:r>
          <w:rPr>
            <w:sz w:val="20"/>
            <w:color w:val="0000ff"/>
          </w:rPr>
          <w:t xml:space="preserve">N 14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(в ред. Приказов Счетной палаты РФ от 14.03.2023 </w:t>
      </w:r>
      <w:hyperlink w:history="0" r:id="rId34" w:tooltip="Приказ Счетной палаты РФ от 14.03.2023 N 35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N 35</w:t>
        </w:r>
      </w:hyperlink>
      <w:r>
        <w:rPr>
          <w:sz w:val="20"/>
        </w:rPr>
        <w:t xml:space="preserve">, от 08.09.2023 </w:t>
      </w:r>
      <w:hyperlink w:history="0" r:id="rId35" w:tooltip="Приказ Счетной палаты РФ от 08.09.2023 N 125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N 125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(в ред. Приказа Счетной палаты РФ от 13.12.2023 </w:t>
      </w:r>
      <w:hyperlink w:history="0" r:id="rId36" w:tooltip="Приказ Счетной палаты РФ от 13.12.2023 N 163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N 163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Счетной палаты РФ от 18.02.2015 N 18</w:t>
            <w:br/>
            <w:t>Об утверждении Перечня должностей, замещаемых на основании трудового договор...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Счетной палаты РФ от 18.02.2015 N 18 Об утверждении Перечня должностей, замещаемых на основании трудового договор...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SVB082&amp;n=2164" TargetMode = "External"/>
	<Relationship Id="rId7" Type="http://schemas.openxmlformats.org/officeDocument/2006/relationships/hyperlink" Target="https://login.consultant.ru/link/?req=doc&amp;base=SVB082&amp;n=2167" TargetMode = "External"/>
	<Relationship Id="rId8" Type="http://schemas.openxmlformats.org/officeDocument/2006/relationships/hyperlink" Target="https://login.consultant.ru/link/?req=doc&amp;base=SVB082&amp;n=705" TargetMode = "External"/>
	<Relationship Id="rId9" Type="http://schemas.openxmlformats.org/officeDocument/2006/relationships/hyperlink" Target="https://login.consultant.ru/link/?req=doc&amp;base=SVB082&amp;n=1019" TargetMode = "External"/>
	<Relationship Id="rId10" Type="http://schemas.openxmlformats.org/officeDocument/2006/relationships/hyperlink" Target="https://login.consultant.ru/link/?req=doc&amp;base=SVB082&amp;n=1346" TargetMode = "External"/>
	<Relationship Id="rId11" Type="http://schemas.openxmlformats.org/officeDocument/2006/relationships/hyperlink" Target="https://login.consultant.ru/link/?req=doc&amp;base=SVB082&amp;n=2092" TargetMode = "External"/>
	<Relationship Id="rId12" Type="http://schemas.openxmlformats.org/officeDocument/2006/relationships/hyperlink" Target="https://login.consultant.ru/link/?req=doc&amp;base=SVB082&amp;n=2147" TargetMode = "External"/>
	<Relationship Id="rId13" Type="http://schemas.openxmlformats.org/officeDocument/2006/relationships/hyperlink" Target="https://login.consultant.ru/link/?req=doc&amp;base=SVB082&amp;n=3217&amp;dst=100004" TargetMode = "External"/>
	<Relationship Id="rId14" Type="http://schemas.openxmlformats.org/officeDocument/2006/relationships/hyperlink" Target="https://login.consultant.ru/link/?req=doc&amp;base=SVB082&amp;n=3450&amp;dst=100002" TargetMode = "External"/>
	<Relationship Id="rId15" Type="http://schemas.openxmlformats.org/officeDocument/2006/relationships/hyperlink" Target="https://login.consultant.ru/link/?req=doc&amp;base=SVB082&amp;n=3583" TargetMode = "External"/>
	<Relationship Id="rId16" Type="http://schemas.openxmlformats.org/officeDocument/2006/relationships/hyperlink" Target="https://login.consultant.ru/link/?req=doc&amp;base=SVB082&amp;n=1346" TargetMode = "External"/>
	<Relationship Id="rId17" Type="http://schemas.openxmlformats.org/officeDocument/2006/relationships/hyperlink" Target="https://login.consultant.ru/link/?req=doc&amp;base=LAW&amp;n=200569" TargetMode = "External"/>
	<Relationship Id="rId18" Type="http://schemas.openxmlformats.org/officeDocument/2006/relationships/hyperlink" Target="https://login.consultant.ru/link/?req=doc&amp;base=LAW&amp;n=199416" TargetMode = "External"/>
	<Relationship Id="rId19" Type="http://schemas.openxmlformats.org/officeDocument/2006/relationships/hyperlink" Target="https://login.consultant.ru/link/?req=doc&amp;base=LAW&amp;n=183023" TargetMode = "External"/>
	<Relationship Id="rId20" Type="http://schemas.openxmlformats.org/officeDocument/2006/relationships/hyperlink" Target="https://login.consultant.ru/link/?req=doc&amp;base=SVB082&amp;n=2092&amp;dst=100093" TargetMode = "External"/>
	<Relationship Id="rId21" Type="http://schemas.openxmlformats.org/officeDocument/2006/relationships/hyperlink" Target="https://login.consultant.ru/link/?req=doc&amp;base=SVB082&amp;n=1346" TargetMode = "External"/>
	<Relationship Id="rId22" Type="http://schemas.openxmlformats.org/officeDocument/2006/relationships/hyperlink" Target="https://login.consultant.ru/link/?req=doc&amp;base=LAW&amp;n=200569" TargetMode = "External"/>
	<Relationship Id="rId23" Type="http://schemas.openxmlformats.org/officeDocument/2006/relationships/hyperlink" Target="https://login.consultant.ru/link/?req=doc&amp;base=LAW&amp;n=202074" TargetMode = "External"/>
	<Relationship Id="rId24" Type="http://schemas.openxmlformats.org/officeDocument/2006/relationships/hyperlink" Target="https://login.consultant.ru/link/?req=doc&amp;base=SVB082&amp;n=1346" TargetMode = "External"/>
	<Relationship Id="rId25" Type="http://schemas.openxmlformats.org/officeDocument/2006/relationships/hyperlink" Target="https://login.consultant.ru/link/?req=doc&amp;base=SVB082&amp;n=2147&amp;dst=100008" TargetMode = "External"/>
	<Relationship Id="rId26" Type="http://schemas.openxmlformats.org/officeDocument/2006/relationships/hyperlink" Target="https://login.consultant.ru/link/?req=doc&amp;base=SVB082&amp;n=3217&amp;dst=100008" TargetMode = "External"/>
	<Relationship Id="rId27" Type="http://schemas.openxmlformats.org/officeDocument/2006/relationships/hyperlink" Target="https://login.consultant.ru/link/?req=doc&amp;base=SVB082&amp;n=3217&amp;dst=100004" TargetMode = "External"/>
	<Relationship Id="rId28" Type="http://schemas.openxmlformats.org/officeDocument/2006/relationships/hyperlink" Target="https://login.consultant.ru/link/?req=doc&amp;base=SVB082&amp;n=3450" TargetMode = "External"/>
	<Relationship Id="rId29" Type="http://schemas.openxmlformats.org/officeDocument/2006/relationships/hyperlink" Target="https://login.consultant.ru/link/?req=doc&amp;base=SVB082&amp;n=1346" TargetMode = "External"/>
	<Relationship Id="rId30" Type="http://schemas.openxmlformats.org/officeDocument/2006/relationships/hyperlink" Target="https://login.consultant.ru/link/?req=doc&amp;base=SVB082&amp;n=3583&amp;dst=100015" TargetMode = "External"/>
	<Relationship Id="rId31" Type="http://schemas.openxmlformats.org/officeDocument/2006/relationships/hyperlink" Target="https://login.consultant.ru/link/?req=doc&amp;base=SVB082&amp;n=2147&amp;dst=100008" TargetMode = "External"/>
	<Relationship Id="rId32" Type="http://schemas.openxmlformats.org/officeDocument/2006/relationships/hyperlink" Target="https://login.consultant.ru/link/?req=doc&amp;base=SVB082&amp;n=2092&amp;dst=100094" TargetMode = "External"/>
	<Relationship Id="rId33" Type="http://schemas.openxmlformats.org/officeDocument/2006/relationships/hyperlink" Target="https://login.consultant.ru/link/?req=doc&amp;base=SVB082&amp;n=1019" TargetMode = "External"/>
	<Relationship Id="rId34" Type="http://schemas.openxmlformats.org/officeDocument/2006/relationships/hyperlink" Target="https://login.consultant.ru/link/?req=doc&amp;base=SVB082&amp;n=3217&amp;dst=100008" TargetMode = "External"/>
	<Relationship Id="rId35" Type="http://schemas.openxmlformats.org/officeDocument/2006/relationships/hyperlink" Target="https://login.consultant.ru/link/?req=doc&amp;base=SVB082&amp;n=3450&amp;dst=100018" TargetMode = "External"/>
	<Relationship Id="rId36" Type="http://schemas.openxmlformats.org/officeDocument/2006/relationships/hyperlink" Target="https://login.consultant.ru/link/?req=doc&amp;base=SVB082&amp;n=3583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Счетной палаты РФ от 18.02.2015 N 18
Об утверждении Перечня должностей, замещаемых 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</dc:title>
  <dcterms:created xsi:type="dcterms:W3CDTF">2023-12-19T11:28:33Z</dcterms:created>
</cp:coreProperties>
</file>